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5BEE8" w14:textId="77777777" w:rsidR="00C11B9F" w:rsidRPr="00DA34AD" w:rsidRDefault="00C11B9F" w:rsidP="00C11B9F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color w:val="000000" w:themeColor="text1"/>
          <w:sz w:val="20"/>
          <w:szCs w:val="20"/>
        </w:rPr>
      </w:pPr>
      <w:r w:rsidRPr="00DA34AD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[Número del Proceso de Contratación]</w:t>
      </w:r>
      <w:r w:rsidRPr="00DA34A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14:paraId="3579A060" w14:textId="77777777" w:rsidR="00C11B9F" w:rsidRPr="004642F3" w:rsidRDefault="00C11B9F" w:rsidP="00C11B9F">
      <w:pPr>
        <w:pStyle w:val="Encabezado"/>
        <w:jc w:val="right"/>
        <w:rPr>
          <w:rFonts w:ascii="Arial Narrow" w:hAnsi="Arial Narrow"/>
          <w:b/>
          <w:color w:val="000000" w:themeColor="text1"/>
          <w:sz w:val="18"/>
          <w:szCs w:val="20"/>
        </w:rPr>
      </w:pPr>
      <w:r w:rsidRPr="004642F3">
        <w:rPr>
          <w:rFonts w:cs="Arial"/>
          <w:b/>
          <w:color w:val="000000" w:themeColor="text1"/>
          <w:sz w:val="20"/>
          <w:szCs w:val="20"/>
        </w:rPr>
        <w:t>ANEXO 4</w:t>
      </w:r>
      <w:r w:rsidRPr="004642F3">
        <w:rPr>
          <w:rFonts w:ascii="Arial Narrow" w:hAnsi="Arial Narrow"/>
          <w:b/>
          <w:color w:val="000000" w:themeColor="text1"/>
          <w:sz w:val="18"/>
          <w:szCs w:val="20"/>
        </w:rPr>
        <w:t xml:space="preserve"> </w:t>
      </w:r>
    </w:p>
    <w:p w14:paraId="3F8E6D59" w14:textId="77777777" w:rsidR="00C11B9F" w:rsidRPr="004642F3" w:rsidRDefault="00C11B9F" w:rsidP="00DF0D4B">
      <w:pPr>
        <w:ind w:firstLine="708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</w:p>
    <w:p w14:paraId="034043F7" w14:textId="3F050B47" w:rsidR="00B45254" w:rsidRPr="004642F3" w:rsidRDefault="003D3AD6" w:rsidP="00DF0D4B">
      <w:pPr>
        <w:ind w:firstLine="708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  <w:r w:rsidRPr="004642F3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ANEXO 4</w:t>
      </w:r>
      <w:r w:rsidR="00DF0D4B" w:rsidRPr="004642F3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— </w:t>
      </w:r>
      <w:r w:rsidR="00B45254" w:rsidRPr="004642F3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PACTO DE TRANSPARENCIA</w:t>
      </w:r>
    </w:p>
    <w:p w14:paraId="0756D1EC" w14:textId="158EF9BF" w:rsidR="00B45254" w:rsidRPr="004642F3" w:rsidRDefault="001C06D2" w:rsidP="001C06D2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4642F3">
        <w:rPr>
          <w:color w:val="000000" w:themeColor="text1"/>
          <w:sz w:val="20"/>
          <w:szCs w:val="20"/>
        </w:rPr>
        <w:t xml:space="preserve">El presente documento hace parte integral de los Documentos del </w:t>
      </w:r>
      <w:r w:rsidR="00291448" w:rsidRPr="004642F3">
        <w:rPr>
          <w:color w:val="000000" w:themeColor="text1"/>
          <w:sz w:val="20"/>
          <w:szCs w:val="20"/>
        </w:rPr>
        <w:t>Proceso</w:t>
      </w:r>
      <w:r w:rsidRPr="004642F3">
        <w:rPr>
          <w:color w:val="000000" w:themeColor="text1"/>
          <w:sz w:val="20"/>
          <w:szCs w:val="20"/>
        </w:rPr>
        <w:t xml:space="preserve"> y con la carta de presentación de la propuesta el Proponente se compromete a: </w:t>
      </w:r>
    </w:p>
    <w:p w14:paraId="382B442D" w14:textId="77777777" w:rsidR="001C06D2" w:rsidRPr="004642F3" w:rsidRDefault="001C06D2" w:rsidP="001C06D2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28C002B5" w14:textId="290FD979" w:rsidR="00B45254" w:rsidRPr="004642F3" w:rsidRDefault="00B45254" w:rsidP="00627712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Cumplir estrictamente la Ley </w:t>
      </w:r>
      <w:r w:rsidR="00300E60" w:rsidRPr="004642F3">
        <w:rPr>
          <w:rFonts w:ascii="Arial" w:hAnsi="Arial" w:cs="Arial"/>
          <w:color w:val="000000" w:themeColor="text1"/>
          <w:sz w:val="20"/>
          <w:szCs w:val="20"/>
        </w:rPr>
        <w:t>a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plicable.</w:t>
      </w:r>
    </w:p>
    <w:p w14:paraId="6934A787" w14:textId="15D56A92" w:rsidR="00B45254" w:rsidRPr="004642F3" w:rsidRDefault="00B45254" w:rsidP="00627712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Interpretar de buena 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fe las normas aplicables a los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s de 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Contratación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de manera que siempre produzcan los efectos buscados por las mismas.</w:t>
      </w:r>
    </w:p>
    <w:p w14:paraId="240BD4B7" w14:textId="62D3B39D" w:rsidR="00B45254" w:rsidRPr="004642F3" w:rsidRDefault="00B45254" w:rsidP="00627712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No incurrir en faltas a la verdad</w:t>
      </w:r>
      <w:r w:rsidR="0004530A" w:rsidRPr="004642F3">
        <w:rPr>
          <w:rFonts w:ascii="Arial" w:hAnsi="Arial" w:cs="Arial"/>
          <w:color w:val="000000" w:themeColor="text1"/>
          <w:sz w:val="20"/>
          <w:szCs w:val="20"/>
        </w:rPr>
        <w:t xml:space="preserve"> o adulteración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en los documentos o requisitos exigidos en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4EC2ED1" w14:textId="51CC8277" w:rsidR="00B45254" w:rsidRPr="004642F3" w:rsidRDefault="00B45254" w:rsidP="00627712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Igualmente se acepta 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>que,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durante la evaluación de las propuestas del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  <w:r w:rsidR="00AB556C" w:rsidRPr="004642F3">
        <w:rPr>
          <w:rFonts w:ascii="Arial" w:hAnsi="Arial" w:cs="Arial"/>
          <w:color w:val="000000" w:themeColor="text1"/>
          <w:sz w:val="20"/>
          <w:szCs w:val="20"/>
        </w:rPr>
        <w:t xml:space="preserve">, primen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los aspectos de fondo por encima de la forma, buscando siempre favorecer la libre competencia.</w:t>
      </w:r>
    </w:p>
    <w:p w14:paraId="647C8940" w14:textId="6675030D" w:rsidR="006E3E33" w:rsidRPr="004642F3" w:rsidRDefault="00B45254" w:rsidP="00627712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47801FFC">
        <w:rPr>
          <w:rFonts w:ascii="Arial" w:hAnsi="Arial" w:cs="Arial"/>
          <w:color w:val="000000" w:themeColor="text1"/>
          <w:sz w:val="20"/>
          <w:szCs w:val="20"/>
        </w:rPr>
        <w:t xml:space="preserve">Hacer un estudio completo del proyecto y de los documentos del </w:t>
      </w:r>
      <w:r w:rsidR="00291448" w:rsidRPr="47801FFC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D60C2A" w:rsidRPr="47801FFC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  <w:r w:rsidRPr="47801FFC">
        <w:rPr>
          <w:rFonts w:ascii="Arial" w:hAnsi="Arial" w:cs="Arial"/>
          <w:color w:val="000000" w:themeColor="text1"/>
          <w:sz w:val="20"/>
          <w:szCs w:val="20"/>
        </w:rPr>
        <w:t xml:space="preserve">, así como realizar estudios y análisis propios, bajo </w:t>
      </w:r>
      <w:r w:rsidR="00D60C2A" w:rsidRPr="47801FFC">
        <w:rPr>
          <w:rFonts w:ascii="Arial" w:hAnsi="Arial" w:cs="Arial"/>
          <w:color w:val="000000" w:themeColor="text1"/>
          <w:sz w:val="20"/>
          <w:szCs w:val="20"/>
        </w:rPr>
        <w:t xml:space="preserve">mi </w:t>
      </w:r>
      <w:r w:rsidRPr="47801FFC">
        <w:rPr>
          <w:rFonts w:ascii="Arial" w:hAnsi="Arial" w:cs="Arial"/>
          <w:color w:val="000000" w:themeColor="text1"/>
          <w:sz w:val="20"/>
          <w:szCs w:val="20"/>
        </w:rPr>
        <w:t xml:space="preserve">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47801FFC">
        <w:rPr>
          <w:rFonts w:ascii="Arial" w:hAnsi="Arial" w:cs="Arial"/>
          <w:color w:val="000000" w:themeColor="text1"/>
          <w:sz w:val="20"/>
          <w:szCs w:val="20"/>
        </w:rPr>
        <w:t xml:space="preserve">me </w:t>
      </w:r>
      <w:r w:rsidRPr="47801FFC">
        <w:rPr>
          <w:rFonts w:ascii="Arial" w:hAnsi="Arial" w:cs="Arial"/>
          <w:color w:val="000000" w:themeColor="text1"/>
          <w:sz w:val="20"/>
          <w:szCs w:val="20"/>
        </w:rPr>
        <w:t xml:space="preserve">permita participar en el </w:t>
      </w:r>
      <w:r w:rsidR="00291448" w:rsidRPr="47801FFC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D60C2A" w:rsidRPr="47801FFC">
        <w:rPr>
          <w:rFonts w:ascii="Arial" w:hAnsi="Arial" w:cs="Arial"/>
          <w:color w:val="000000" w:themeColor="text1"/>
          <w:sz w:val="20"/>
          <w:szCs w:val="20"/>
        </w:rPr>
        <w:t xml:space="preserve"> de Contratación </w:t>
      </w:r>
      <w:r w:rsidRPr="47801FFC">
        <w:rPr>
          <w:rFonts w:ascii="Arial" w:hAnsi="Arial" w:cs="Arial"/>
          <w:color w:val="000000" w:themeColor="text1"/>
          <w:sz w:val="20"/>
          <w:szCs w:val="20"/>
        </w:rPr>
        <w:t xml:space="preserve">y en caso de resultar adjudicatario </w:t>
      </w:r>
      <w:r w:rsidR="00214236" w:rsidRPr="47801FFC">
        <w:rPr>
          <w:rFonts w:ascii="Arial" w:hAnsi="Arial" w:cs="Arial"/>
          <w:color w:val="000000" w:themeColor="text1"/>
          <w:sz w:val="20"/>
          <w:szCs w:val="20"/>
        </w:rPr>
        <w:t xml:space="preserve">me </w:t>
      </w:r>
      <w:r w:rsidRPr="47801FFC">
        <w:rPr>
          <w:rFonts w:ascii="Arial" w:hAnsi="Arial" w:cs="Arial"/>
          <w:color w:val="000000" w:themeColor="text1"/>
          <w:sz w:val="20"/>
          <w:szCs w:val="20"/>
        </w:rPr>
        <w:t>permita ejecutar todas las</w:t>
      </w:r>
      <w:r w:rsidR="00D60C2A" w:rsidRPr="47801FFC">
        <w:rPr>
          <w:rFonts w:ascii="Arial" w:hAnsi="Arial" w:cs="Arial"/>
          <w:color w:val="000000" w:themeColor="text1"/>
          <w:sz w:val="20"/>
          <w:szCs w:val="20"/>
        </w:rPr>
        <w:t xml:space="preserve"> obligaciones contenidas en el C</w:t>
      </w:r>
      <w:r w:rsidRPr="47801FFC">
        <w:rPr>
          <w:rFonts w:ascii="Arial" w:hAnsi="Arial" w:cs="Arial"/>
          <w:color w:val="000000" w:themeColor="text1"/>
          <w:sz w:val="20"/>
          <w:szCs w:val="20"/>
        </w:rPr>
        <w:t xml:space="preserve">ontrato, así como asumir los riesgos a </w:t>
      </w:r>
      <w:r w:rsidR="00214236" w:rsidRPr="47801FFC">
        <w:rPr>
          <w:rFonts w:ascii="Arial" w:hAnsi="Arial" w:cs="Arial"/>
          <w:color w:val="000000" w:themeColor="text1"/>
          <w:sz w:val="20"/>
          <w:szCs w:val="20"/>
        </w:rPr>
        <w:t xml:space="preserve">mi </w:t>
      </w:r>
      <w:r w:rsidRPr="47801FFC">
        <w:rPr>
          <w:rFonts w:ascii="Arial" w:hAnsi="Arial" w:cs="Arial"/>
          <w:color w:val="000000" w:themeColor="text1"/>
          <w:sz w:val="20"/>
          <w:szCs w:val="20"/>
        </w:rPr>
        <w:t>cargo asociados a la ejecución de</w:t>
      </w:r>
      <w:r w:rsidR="00D60C2A" w:rsidRPr="47801FF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60672" w:rsidRPr="47801FFC">
        <w:rPr>
          <w:rFonts w:ascii="Arial" w:hAnsi="Arial" w:cs="Arial"/>
          <w:color w:val="000000" w:themeColor="text1"/>
          <w:sz w:val="20"/>
          <w:szCs w:val="20"/>
        </w:rPr>
        <w:t xml:space="preserve">este. </w:t>
      </w:r>
    </w:p>
    <w:p w14:paraId="370C8647" w14:textId="3160BBB8" w:rsidR="4321F705" w:rsidRDefault="4321F705" w:rsidP="47801FFC">
      <w:pPr>
        <w:numPr>
          <w:ilvl w:val="0"/>
          <w:numId w:val="3"/>
        </w:numPr>
        <w:spacing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47801FFC">
        <w:rPr>
          <w:rFonts w:ascii="Arial" w:eastAsia="Arial" w:hAnsi="Arial" w:cs="Arial"/>
          <w:color w:val="000000" w:themeColor="text1"/>
          <w:sz w:val="20"/>
          <w:szCs w:val="20"/>
        </w:rPr>
        <w:t>Respetar el régimen de libre competencia económica, lo que implica no hacer acuerdos o arreglos previos, concomitantes o posteriores al Proceso de contratación con los encargados de planear el Proceso para tratar de conocer, influenciar o manipular información del proyecto, en favor propio o de un tercero, con el fin de direccionar el Proceso de Contratación y/</w:t>
      </w:r>
      <w:proofErr w:type="spellStart"/>
      <w:r w:rsidRPr="47801FFC">
        <w:rPr>
          <w:rFonts w:ascii="Arial" w:eastAsia="Arial" w:hAnsi="Arial" w:cs="Arial"/>
          <w:color w:val="000000" w:themeColor="text1"/>
          <w:sz w:val="20"/>
          <w:szCs w:val="20"/>
        </w:rPr>
        <w:t>o</w:t>
      </w:r>
      <w:proofErr w:type="spellEnd"/>
      <w:r w:rsidRPr="47801FFC">
        <w:rPr>
          <w:rFonts w:ascii="Arial" w:eastAsia="Arial" w:hAnsi="Arial" w:cs="Arial"/>
          <w:color w:val="000000" w:themeColor="text1"/>
          <w:sz w:val="20"/>
          <w:szCs w:val="20"/>
        </w:rPr>
        <w:t xml:space="preserve"> obtener ventajas al presentar la respectiva propuesta. </w:t>
      </w:r>
    </w:p>
    <w:p w14:paraId="7C79C2BB" w14:textId="44B1AEE7" w:rsidR="4321F705" w:rsidRDefault="4321F705" w:rsidP="47801FFC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47801FFC">
        <w:rPr>
          <w:rFonts w:ascii="Arial" w:eastAsia="Arial" w:hAnsi="Arial" w:cs="Arial"/>
          <w:color w:val="000000" w:themeColor="text1"/>
          <w:sz w:val="20"/>
          <w:szCs w:val="20"/>
        </w:rPr>
        <w:t>Respetar el régimen de libre competencia, lo que implica no realizar acuerdos o arreglos que tengan por objeto la colusión en el proceso de contratación o que tengan como efecto la distribución de adjudicaciones de contratos, distribución de concursos o fijación de términos de las propuestas. En general, no hacer acuerdos con el fin influenciar o manipular los resultados de la adjudicación.</w:t>
      </w:r>
    </w:p>
    <w:p w14:paraId="3815A31D" w14:textId="37D1D494" w:rsidR="00B45254" w:rsidRPr="004642F3" w:rsidRDefault="00B45254" w:rsidP="00627712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Enviar por escrito 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>a la Entidad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todas las preguntas o inquietudes que surjan durante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y no hacerlo de manera oral por ningún medio, salvo que se realicen dentro de las audiencias públicas. </w:t>
      </w:r>
    </w:p>
    <w:p w14:paraId="311F6075" w14:textId="6D68685A" w:rsidR="00B45254" w:rsidRPr="004642F3" w:rsidRDefault="00B45254" w:rsidP="00627712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Actuar con lealtad hacia los demás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>Proponentes,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así como frente 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a la Entidad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y abstenernos de utilizar herramientas para dilatar o sabotear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. Igualmente, las observaciones al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o a las propuestas de los otros interesados, serán presentadas oportunamente, en los plazos y términos fijados estrictamente en las reglas de la selección.</w:t>
      </w:r>
    </w:p>
    <w:p w14:paraId="1BC448F0" w14:textId="77777777" w:rsidR="00B45254" w:rsidRPr="004642F3" w:rsidRDefault="00B45254" w:rsidP="00627712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Abstenernos de hacer manifestaciones orales o escritas en contra de los demás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Proponentes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la Entidad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para corroborar tales afirmaciones.</w:t>
      </w:r>
    </w:p>
    <w:p w14:paraId="542EF042" w14:textId="7614BC01" w:rsidR="00B45254" w:rsidRPr="004642F3" w:rsidRDefault="00B45254" w:rsidP="00627712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No utilizar en la etapa de verificación y evaluación de las Propuestas, argumentos carentes de sustento probatorio para efectos de buscar la descalificación de competidores o la dilación del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de selección.</w:t>
      </w:r>
    </w:p>
    <w:p w14:paraId="27C40259" w14:textId="6978B26C" w:rsidR="00B45254" w:rsidRPr="004642F3" w:rsidRDefault="00B45254" w:rsidP="00627712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En las audiencias guardar compostura, no levantar la voz y hacer uso de la palabra únicamente cuando sea concedida y por el tiempo que sea concedida; y acatar las decisiones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de la Entidad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. En caso de desacuerdo interponer los recursos o acciones que se consideren pertinentes</w:t>
      </w:r>
      <w:r w:rsidR="00825376" w:rsidRPr="004642F3">
        <w:rPr>
          <w:rFonts w:ascii="Arial" w:hAnsi="Arial" w:cs="Arial"/>
          <w:color w:val="000000" w:themeColor="text1"/>
          <w:sz w:val="20"/>
          <w:szCs w:val="20"/>
        </w:rPr>
        <w:t xml:space="preserve"> en los términos de la Ley Aplicable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59AD92A" w14:textId="2C2DD003" w:rsidR="00B45254" w:rsidRPr="004642F3" w:rsidRDefault="00B45254" w:rsidP="00627712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En las audiencias, abstenernos de proferir juicios de valor contra personas naturales o jurídicas, ni referirnos a asuntos personales de otros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>Proponentes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. Por lo tanto, en las audiencias solamente </w:t>
      </w:r>
      <w:r w:rsidR="00F042EB" w:rsidRPr="004642F3">
        <w:rPr>
          <w:rFonts w:ascii="Arial" w:hAnsi="Arial" w:cs="Arial"/>
          <w:color w:val="000000" w:themeColor="text1"/>
          <w:sz w:val="20"/>
          <w:szCs w:val="20"/>
        </w:rPr>
        <w:t xml:space="preserve">debatiremos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asuntos relacionados con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</w:p>
    <w:p w14:paraId="4089E903" w14:textId="4B40673B" w:rsidR="00B45254" w:rsidRPr="004642F3" w:rsidRDefault="00B45254" w:rsidP="00627712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Solicitar o remitir a la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Entidad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, o a sus funcionarios y contratistas, cualquier información utilizando solamente los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s y canales previstos en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05BD003E" w14:textId="29D59656" w:rsidR="00B45254" w:rsidRPr="004642F3" w:rsidRDefault="00B45254" w:rsidP="00627712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No ofrecer trabajo, contratos o algún tipo de beneficio económico o de cualquier otra naturaleza</w:t>
      </w:r>
      <w:r w:rsidR="00A971F6" w:rsidRPr="004642F3">
        <w:rPr>
          <w:rFonts w:ascii="Arial" w:hAnsi="Arial" w:cs="Arial"/>
          <w:color w:val="000000" w:themeColor="text1"/>
          <w:sz w:val="20"/>
          <w:szCs w:val="20"/>
        </w:rPr>
        <w:t xml:space="preserve"> a ningún funcionario público,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contratista o estructurador, vinculado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>a la Entidad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ni a sus familiares en primer grado de consanguinidad, segundo de afinidad o primero civil, a partir de la adjudicación o con ocasión de la misma, y hasta dos (2) años siguientes a la susc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>ripción del C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ontrato, sin perjuicio del régimen de conflictos de intereses y de inhabilidades e incompatibilidades previsto en la Constitución y en la Ley.</w:t>
      </w:r>
    </w:p>
    <w:p w14:paraId="3EBF106F" w14:textId="77AEFC0D" w:rsidR="00B45254" w:rsidRPr="004642F3" w:rsidRDefault="00B45254" w:rsidP="00627712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Exig</w:t>
      </w:r>
      <w:r w:rsidR="00A971F6" w:rsidRPr="004642F3">
        <w:rPr>
          <w:rFonts w:ascii="Arial" w:hAnsi="Arial" w:cs="Arial"/>
          <w:color w:val="000000" w:themeColor="text1"/>
          <w:sz w:val="20"/>
          <w:szCs w:val="20"/>
        </w:rPr>
        <w:t>ir a nuestros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contrato</w:t>
      </w:r>
      <w:r w:rsidR="00295277" w:rsidRPr="004642F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2E637DC" w14:textId="27BD39DE" w:rsidR="00B45254" w:rsidRPr="004642F3" w:rsidRDefault="00B45254" w:rsidP="00627712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Estado, durante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ni durante la ejecución o liquidación del contrato.</w:t>
      </w:r>
    </w:p>
    <w:p w14:paraId="14F9BBFB" w14:textId="5764E21D" w:rsidR="00B45254" w:rsidRPr="004642F3" w:rsidRDefault="00B45254" w:rsidP="00627712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No contratar, ni ofrecer d</w:t>
      </w:r>
      <w:r w:rsidR="03AB8BC1" w:rsidRPr="004642F3">
        <w:rPr>
          <w:rFonts w:ascii="Arial" w:hAnsi="Arial" w:cs="Arial"/>
          <w:color w:val="000000" w:themeColor="text1"/>
          <w:sz w:val="20"/>
          <w:szCs w:val="20"/>
        </w:rPr>
        <w:t>á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divas</w:t>
      </w:r>
      <w:r w:rsidR="74039872" w:rsidRPr="004642F3">
        <w:rPr>
          <w:rFonts w:ascii="Arial" w:hAnsi="Arial" w:cs="Arial"/>
          <w:color w:val="000000" w:themeColor="text1"/>
          <w:sz w:val="20"/>
          <w:szCs w:val="20"/>
        </w:rPr>
        <w:t>, regalos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la Entidad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tome respecto de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s de contratación estatal, bien sea en su adjudicación, supervisión o terminación. </w:t>
      </w:r>
    </w:p>
    <w:p w14:paraId="4BAD437B" w14:textId="25204487" w:rsidR="00B45254" w:rsidRPr="004642F3" w:rsidRDefault="00214236" w:rsidP="00627712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La Entidad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 siempre se manifestará sobre las inquietudes relacionadas con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 de selección por los canales definidos en los documentos del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02A178" w14:textId="544359B6" w:rsidR="00B45254" w:rsidRPr="004642F3" w:rsidRDefault="00B45254" w:rsidP="00627712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No contratar ni ofrecer d</w:t>
      </w:r>
      <w:r w:rsidR="00DC43C6" w:rsidRPr="004642F3">
        <w:rPr>
          <w:rFonts w:ascii="Arial" w:hAnsi="Arial" w:cs="Arial"/>
          <w:color w:val="000000" w:themeColor="text1"/>
          <w:sz w:val="20"/>
          <w:szCs w:val="20"/>
        </w:rPr>
        <w:t>á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divas, </w:t>
      </w:r>
      <w:r w:rsidR="00333E1C" w:rsidRPr="004642F3">
        <w:rPr>
          <w:rFonts w:ascii="Arial" w:hAnsi="Arial" w:cs="Arial"/>
          <w:color w:val="000000" w:themeColor="text1"/>
          <w:sz w:val="20"/>
          <w:szCs w:val="20"/>
        </w:rPr>
        <w:t xml:space="preserve">regalos,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>de la Entidad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de selección. </w:t>
      </w:r>
    </w:p>
    <w:p w14:paraId="6CF965FD" w14:textId="26E8BDAD" w:rsidR="00B45254" w:rsidRPr="004642F3" w:rsidRDefault="00E63AEB" w:rsidP="00627712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D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>ar conocimiento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a la Entidad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, a la Secretaría de Transparencia del Departamento Administrativo de la Presidencia de la República y a las autoridades competentes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en caso de presentarse alguna queja o denuncia sobre la ocurrencia de un acto de corrupción durante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 o con cargo al Contrato, 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y del conocimiento que tenga sobre posibles pagos o beneficios ofrecidos u otorgados. </w:t>
      </w:r>
    </w:p>
    <w:p w14:paraId="3FC74D9F" w14:textId="18F59201" w:rsidR="00B45254" w:rsidRPr="004642F3" w:rsidRDefault="00B45254" w:rsidP="00D60C2A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4642F3">
        <w:rPr>
          <w:rFonts w:ascii="Arial" w:hAnsi="Arial" w:cs="Arial"/>
          <w:color w:val="000000" w:themeColor="text1"/>
          <w:sz w:val="20"/>
          <w:szCs w:val="20"/>
        </w:rPr>
        <w:t>,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002B36E3" w:rsidRPr="004642F3">
        <w:rPr>
          <w:rFonts w:ascii="Arial" w:hAnsi="Arial" w:cs="Arial"/>
          <w:color w:val="000000" w:themeColor="text1"/>
          <w:sz w:val="20"/>
          <w:szCs w:val="20"/>
        </w:rPr>
        <w:t>Proponentes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de selección, de manera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lastRenderedPageBreak/>
        <w:t>previa, concomitante o posterior al mismo, que tengan la intención de inducir</w:t>
      </w:r>
      <w:r w:rsidR="001457BB" w:rsidRPr="004642F3">
        <w:rPr>
          <w:rFonts w:ascii="Arial" w:hAnsi="Arial" w:cs="Arial"/>
          <w:color w:val="000000" w:themeColor="text1"/>
          <w:sz w:val="20"/>
          <w:szCs w:val="20"/>
        </w:rPr>
        <w:t xml:space="preserve"> o direccionar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alguna decisión relacionada con la adjudicación.</w:t>
      </w:r>
    </w:p>
    <w:sectPr w:rsidR="00B45254" w:rsidRPr="004642F3" w:rsidSect="00A54CB4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3B00D" w14:textId="77777777" w:rsidR="00685359" w:rsidRDefault="00685359" w:rsidP="006522CE">
      <w:pPr>
        <w:spacing w:after="0" w:line="240" w:lineRule="auto"/>
      </w:pPr>
      <w:r>
        <w:separator/>
      </w:r>
    </w:p>
  </w:endnote>
  <w:endnote w:type="continuationSeparator" w:id="0">
    <w:p w14:paraId="0C14CFFE" w14:textId="77777777" w:rsidR="00685359" w:rsidRDefault="00685359" w:rsidP="0065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46"/>
      <w:gridCol w:w="1876"/>
      <w:gridCol w:w="964"/>
      <w:gridCol w:w="298"/>
    </w:tblGrid>
    <w:tr w:rsidR="00A54CB4" w14:paraId="5E275A77" w14:textId="77777777" w:rsidTr="00A54CB4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4C18569" w14:textId="77777777" w:rsidR="00A54CB4" w:rsidRDefault="00A54CB4" w:rsidP="00A54CB4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27E57D" w14:textId="1C7C14EA" w:rsidR="00A54CB4" w:rsidRDefault="00693095" w:rsidP="00A54CB4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693095">
            <w:rPr>
              <w:rFonts w:eastAsia="Arial" w:cs="Arial"/>
              <w:sz w:val="16"/>
              <w:szCs w:val="16"/>
              <w:lang w:eastAsia="es-CO"/>
            </w:rPr>
            <w:t>CCE-EICP-IDI-09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89BA5CF" w14:textId="77777777" w:rsidR="00A54CB4" w:rsidRDefault="00A54CB4" w:rsidP="00A54CB4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34AEEB" w14:textId="765A57A6" w:rsidR="00A54CB4" w:rsidRDefault="00A464DE" w:rsidP="00A54CB4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5B7695DC" w14:textId="77777777" w:rsidR="002252AC" w:rsidRDefault="002252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4CC9D" w14:textId="77777777" w:rsidR="00685359" w:rsidRDefault="00685359" w:rsidP="006522CE">
      <w:pPr>
        <w:spacing w:after="0" w:line="240" w:lineRule="auto"/>
      </w:pPr>
      <w:r>
        <w:separator/>
      </w:r>
    </w:p>
  </w:footnote>
  <w:footnote w:type="continuationSeparator" w:id="0">
    <w:p w14:paraId="2802023F" w14:textId="77777777" w:rsidR="00685359" w:rsidRDefault="00685359" w:rsidP="0065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4642F3" w:rsidRPr="004642F3" w14:paraId="27F23C26" w14:textId="77777777" w:rsidTr="00563DFE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49BAFF5" w14:textId="77777777" w:rsidR="00C11B9F" w:rsidRPr="004642F3" w:rsidRDefault="00C11B9F" w:rsidP="00C11B9F">
          <w:pPr>
            <w:pStyle w:val="Encabezado"/>
            <w:jc w:val="center"/>
            <w:rPr>
              <w:rFonts w:cs="Arial"/>
              <w:b/>
              <w:color w:val="000000" w:themeColor="text1"/>
              <w:sz w:val="16"/>
              <w:szCs w:val="16"/>
            </w:rPr>
          </w:pPr>
          <w:r w:rsidRPr="004642F3">
            <w:rPr>
              <w:rFonts w:cs="Arial"/>
              <w:b/>
              <w:color w:val="000000" w:themeColor="text1"/>
              <w:sz w:val="16"/>
              <w:szCs w:val="16"/>
            </w:rPr>
            <w:t>ANEXO 4 – PACTO DE TRANSPARENCIA</w:t>
          </w:r>
        </w:p>
        <w:p w14:paraId="53BA2A36" w14:textId="3C6FD8F5" w:rsidR="00C11B9F" w:rsidRPr="004642F3" w:rsidRDefault="00C11B9F" w:rsidP="00C11B9F">
          <w:pPr>
            <w:pStyle w:val="Encabezado"/>
            <w:jc w:val="center"/>
            <w:rPr>
              <w:rFonts w:cs="Arial"/>
              <w:b/>
              <w:color w:val="000000" w:themeColor="text1"/>
              <w:sz w:val="16"/>
              <w:szCs w:val="16"/>
            </w:rPr>
          </w:pPr>
          <w:r w:rsidRPr="004642F3">
            <w:rPr>
              <w:rFonts w:cs="Arial"/>
              <w:b/>
              <w:color w:val="000000" w:themeColor="text1"/>
              <w:sz w:val="16"/>
              <w:szCs w:val="16"/>
            </w:rPr>
            <w:t xml:space="preserve">SELECCIÓN ABREVIADA DE OBRA PÚBLICA DE INFRAESTRUCTURA DE TRANSPORTE (VERSIÓN </w:t>
          </w:r>
          <w:r w:rsidR="00A464DE">
            <w:rPr>
              <w:rFonts w:cs="Arial"/>
              <w:b/>
              <w:color w:val="000000" w:themeColor="text1"/>
              <w:sz w:val="16"/>
              <w:szCs w:val="16"/>
            </w:rPr>
            <w:t>3</w:t>
          </w:r>
          <w:r w:rsidRPr="004642F3">
            <w:rPr>
              <w:rFonts w:cs="Arial"/>
              <w:b/>
              <w:color w:val="000000" w:themeColor="text1"/>
              <w:sz w:val="16"/>
              <w:szCs w:val="16"/>
            </w:rPr>
            <w:t xml:space="preserve">) </w:t>
          </w:r>
        </w:p>
      </w:tc>
    </w:tr>
    <w:tr w:rsidR="004642F3" w:rsidRPr="004642F3" w14:paraId="333BD578" w14:textId="77777777" w:rsidTr="00C11B9F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12FA522D" w14:textId="77777777" w:rsidR="00C11B9F" w:rsidRPr="004642F3" w:rsidRDefault="00C11B9F" w:rsidP="00C11B9F">
          <w:pPr>
            <w:spacing w:after="4" w:line="249" w:lineRule="auto"/>
            <w:ind w:left="10" w:hanging="10"/>
            <w:rPr>
              <w:rFonts w:eastAsia="Arial" w:cs="Arial"/>
              <w:b/>
              <w:color w:val="000000" w:themeColor="text1"/>
              <w:sz w:val="18"/>
              <w:szCs w:val="18"/>
            </w:rPr>
          </w:pPr>
          <w:r w:rsidRPr="004642F3">
            <w:rPr>
              <w:rFonts w:eastAsia="Arial" w:cs="Arial"/>
              <w:b/>
              <w:color w:val="000000" w:themeColor="text1"/>
              <w:sz w:val="18"/>
              <w:szCs w:val="18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282F500E" w14:textId="02E09916" w:rsidR="00C11B9F" w:rsidRPr="004642F3" w:rsidRDefault="00C11B9F" w:rsidP="00C11B9F">
          <w:pPr>
            <w:spacing w:after="4" w:line="249" w:lineRule="auto"/>
            <w:ind w:left="10" w:hanging="10"/>
            <w:rPr>
              <w:rFonts w:eastAsia="Arial" w:cs="Arial"/>
              <w:color w:val="000000" w:themeColor="text1"/>
              <w:sz w:val="16"/>
              <w:szCs w:val="16"/>
            </w:rPr>
          </w:pPr>
          <w:r w:rsidRPr="004642F3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CCE-EICP-IDI-09</w:t>
          </w:r>
        </w:p>
      </w:tc>
      <w:tc>
        <w:tcPr>
          <w:tcW w:w="539" w:type="pct"/>
          <w:shd w:val="clear" w:color="auto" w:fill="auto"/>
          <w:vAlign w:val="center"/>
        </w:tcPr>
        <w:p w14:paraId="3A1EFC68" w14:textId="77777777" w:rsidR="00C11B9F" w:rsidRPr="004642F3" w:rsidRDefault="00C11B9F" w:rsidP="00C11B9F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 w:themeColor="text1"/>
              <w:sz w:val="16"/>
              <w:szCs w:val="16"/>
            </w:rPr>
          </w:pPr>
          <w:r w:rsidRPr="004642F3">
            <w:rPr>
              <w:rFonts w:eastAsia="Arial" w:cs="Arial"/>
              <w:b/>
              <w:color w:val="000000" w:themeColor="text1"/>
              <w:sz w:val="16"/>
              <w:szCs w:val="16"/>
            </w:rPr>
            <w:t>Página</w:t>
          </w:r>
        </w:p>
      </w:tc>
      <w:tc>
        <w:tcPr>
          <w:tcW w:w="1151" w:type="pct"/>
          <w:shd w:val="clear" w:color="auto" w:fill="auto"/>
          <w:vAlign w:val="center"/>
        </w:tcPr>
        <w:p w14:paraId="51C5FB05" w14:textId="77777777" w:rsidR="00C11B9F" w:rsidRPr="004642F3" w:rsidRDefault="00C11B9F" w:rsidP="00C11B9F">
          <w:pPr>
            <w:spacing w:after="4" w:line="249" w:lineRule="auto"/>
            <w:ind w:left="10" w:hanging="10"/>
            <w:rPr>
              <w:rFonts w:eastAsia="Arial" w:cs="Arial"/>
              <w:color w:val="000000" w:themeColor="text1"/>
              <w:sz w:val="16"/>
              <w:szCs w:val="16"/>
            </w:rPr>
          </w:pP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instrText xml:space="preserve"> PAGE </w:instrText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t>20</w:t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t xml:space="preserve"> de </w:t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instrText xml:space="preserve"> NUMPAGES </w:instrText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t>20</w:t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4642F3" w:rsidRPr="004642F3" w14:paraId="018CF98F" w14:textId="77777777" w:rsidTr="00C11B9F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19793097" w14:textId="77777777" w:rsidR="00C11B9F" w:rsidRPr="004642F3" w:rsidRDefault="00C11B9F" w:rsidP="00C11B9F">
          <w:pPr>
            <w:spacing w:after="4" w:line="249" w:lineRule="auto"/>
            <w:ind w:left="10" w:hanging="10"/>
            <w:rPr>
              <w:rFonts w:eastAsia="Arial" w:cs="Arial"/>
              <w:b/>
              <w:color w:val="000000" w:themeColor="text1"/>
              <w:sz w:val="18"/>
              <w:szCs w:val="18"/>
            </w:rPr>
          </w:pPr>
          <w:r w:rsidRPr="004642F3">
            <w:rPr>
              <w:rFonts w:eastAsia="Arial" w:cs="Arial"/>
              <w:b/>
              <w:color w:val="000000" w:themeColor="text1"/>
              <w:sz w:val="18"/>
              <w:szCs w:val="18"/>
            </w:rPr>
            <w:t>Versión No.</w:t>
          </w:r>
        </w:p>
      </w:tc>
      <w:tc>
        <w:tcPr>
          <w:tcW w:w="4326" w:type="pct"/>
          <w:gridSpan w:val="3"/>
          <w:shd w:val="clear" w:color="auto" w:fill="auto"/>
          <w:vAlign w:val="center"/>
        </w:tcPr>
        <w:p w14:paraId="5949DC15" w14:textId="079A63D7" w:rsidR="00C11B9F" w:rsidRPr="004642F3" w:rsidRDefault="00A464DE" w:rsidP="00C11B9F">
          <w:pPr>
            <w:spacing w:after="4" w:line="249" w:lineRule="auto"/>
            <w:ind w:left="10" w:hanging="10"/>
            <w:rPr>
              <w:rFonts w:eastAsia="Arial" w:cs="Arial"/>
              <w:color w:val="000000" w:themeColor="text1"/>
              <w:sz w:val="16"/>
              <w:szCs w:val="16"/>
            </w:rPr>
          </w:pPr>
          <w:r>
            <w:rPr>
              <w:rFonts w:eastAsia="Arial" w:cs="Arial"/>
              <w:color w:val="000000" w:themeColor="text1"/>
              <w:sz w:val="16"/>
              <w:szCs w:val="16"/>
            </w:rPr>
            <w:t>3</w:t>
          </w:r>
        </w:p>
      </w:tc>
    </w:tr>
  </w:tbl>
  <w:p w14:paraId="203A3043" w14:textId="06FC0DE9" w:rsidR="006522CE" w:rsidRPr="004642F3" w:rsidRDefault="006522CE">
    <w:pPr>
      <w:pStyle w:val="Encabezado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970147"/>
    <w:multiLevelType w:val="hybridMultilevel"/>
    <w:tmpl w:val="CF2AF9EE"/>
    <w:lvl w:ilvl="0" w:tplc="AD9E3102">
      <w:start w:val="6"/>
      <w:numFmt w:val="lowerRoman"/>
      <w:lvlText w:val="%1."/>
      <w:lvlJc w:val="right"/>
      <w:pPr>
        <w:ind w:left="502" w:hanging="360"/>
      </w:pPr>
      <w:rPr>
        <w:rFonts w:ascii="Arial" w:hAnsi="Arial" w:hint="default"/>
      </w:rPr>
    </w:lvl>
    <w:lvl w:ilvl="1" w:tplc="66C4E2DE">
      <w:start w:val="1"/>
      <w:numFmt w:val="lowerLetter"/>
      <w:lvlText w:val="%2."/>
      <w:lvlJc w:val="left"/>
      <w:pPr>
        <w:ind w:left="1440" w:hanging="360"/>
      </w:pPr>
    </w:lvl>
    <w:lvl w:ilvl="2" w:tplc="1DBC3E82">
      <w:start w:val="1"/>
      <w:numFmt w:val="lowerRoman"/>
      <w:lvlText w:val="%3."/>
      <w:lvlJc w:val="right"/>
      <w:pPr>
        <w:ind w:left="2160" w:hanging="180"/>
      </w:pPr>
    </w:lvl>
    <w:lvl w:ilvl="3" w:tplc="854C2200">
      <w:start w:val="1"/>
      <w:numFmt w:val="decimal"/>
      <w:lvlText w:val="%4."/>
      <w:lvlJc w:val="left"/>
      <w:pPr>
        <w:ind w:left="2880" w:hanging="360"/>
      </w:pPr>
    </w:lvl>
    <w:lvl w:ilvl="4" w:tplc="BB1E1916">
      <w:start w:val="1"/>
      <w:numFmt w:val="lowerLetter"/>
      <w:lvlText w:val="%5."/>
      <w:lvlJc w:val="left"/>
      <w:pPr>
        <w:ind w:left="3600" w:hanging="360"/>
      </w:pPr>
    </w:lvl>
    <w:lvl w:ilvl="5" w:tplc="E59EA2C4">
      <w:start w:val="1"/>
      <w:numFmt w:val="lowerRoman"/>
      <w:lvlText w:val="%6."/>
      <w:lvlJc w:val="right"/>
      <w:pPr>
        <w:ind w:left="4320" w:hanging="180"/>
      </w:pPr>
    </w:lvl>
    <w:lvl w:ilvl="6" w:tplc="E6DC4608">
      <w:start w:val="1"/>
      <w:numFmt w:val="decimal"/>
      <w:lvlText w:val="%7."/>
      <w:lvlJc w:val="left"/>
      <w:pPr>
        <w:ind w:left="5040" w:hanging="360"/>
      </w:pPr>
    </w:lvl>
    <w:lvl w:ilvl="7" w:tplc="F200A078">
      <w:start w:val="1"/>
      <w:numFmt w:val="lowerLetter"/>
      <w:lvlText w:val="%8."/>
      <w:lvlJc w:val="left"/>
      <w:pPr>
        <w:ind w:left="5760" w:hanging="360"/>
      </w:pPr>
    </w:lvl>
    <w:lvl w:ilvl="8" w:tplc="979A8B9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478116F6"/>
    <w:multiLevelType w:val="hybridMultilevel"/>
    <w:tmpl w:val="0A06E1D6"/>
    <w:lvl w:ilvl="0" w:tplc="5DC236A2">
      <w:start w:val="7"/>
      <w:numFmt w:val="lowerRoman"/>
      <w:lvlText w:val="%1."/>
      <w:lvlJc w:val="right"/>
      <w:pPr>
        <w:ind w:left="502" w:hanging="360"/>
      </w:pPr>
      <w:rPr>
        <w:rFonts w:ascii="Arial" w:hAnsi="Arial" w:hint="default"/>
      </w:rPr>
    </w:lvl>
    <w:lvl w:ilvl="1" w:tplc="2C5C147E">
      <w:start w:val="1"/>
      <w:numFmt w:val="lowerLetter"/>
      <w:lvlText w:val="%2."/>
      <w:lvlJc w:val="left"/>
      <w:pPr>
        <w:ind w:left="1440" w:hanging="360"/>
      </w:pPr>
    </w:lvl>
    <w:lvl w:ilvl="2" w:tplc="8E643750">
      <w:start w:val="1"/>
      <w:numFmt w:val="lowerRoman"/>
      <w:lvlText w:val="%3."/>
      <w:lvlJc w:val="right"/>
      <w:pPr>
        <w:ind w:left="2160" w:hanging="180"/>
      </w:pPr>
    </w:lvl>
    <w:lvl w:ilvl="3" w:tplc="6474530A">
      <w:start w:val="1"/>
      <w:numFmt w:val="decimal"/>
      <w:lvlText w:val="%4."/>
      <w:lvlJc w:val="left"/>
      <w:pPr>
        <w:ind w:left="2880" w:hanging="360"/>
      </w:pPr>
    </w:lvl>
    <w:lvl w:ilvl="4" w:tplc="283623DC">
      <w:start w:val="1"/>
      <w:numFmt w:val="lowerLetter"/>
      <w:lvlText w:val="%5."/>
      <w:lvlJc w:val="left"/>
      <w:pPr>
        <w:ind w:left="3600" w:hanging="360"/>
      </w:pPr>
    </w:lvl>
    <w:lvl w:ilvl="5" w:tplc="02E41DAE">
      <w:start w:val="1"/>
      <w:numFmt w:val="lowerRoman"/>
      <w:lvlText w:val="%6."/>
      <w:lvlJc w:val="right"/>
      <w:pPr>
        <w:ind w:left="4320" w:hanging="180"/>
      </w:pPr>
    </w:lvl>
    <w:lvl w:ilvl="6" w:tplc="E156211A">
      <w:start w:val="1"/>
      <w:numFmt w:val="decimal"/>
      <w:lvlText w:val="%7."/>
      <w:lvlJc w:val="left"/>
      <w:pPr>
        <w:ind w:left="5040" w:hanging="360"/>
      </w:pPr>
    </w:lvl>
    <w:lvl w:ilvl="7" w:tplc="5302D4E6">
      <w:start w:val="1"/>
      <w:numFmt w:val="lowerLetter"/>
      <w:lvlText w:val="%8."/>
      <w:lvlJc w:val="left"/>
      <w:pPr>
        <w:ind w:left="5760" w:hanging="360"/>
      </w:pPr>
    </w:lvl>
    <w:lvl w:ilvl="8" w:tplc="FFFAA186">
      <w:start w:val="1"/>
      <w:numFmt w:val="lowerRoman"/>
      <w:lvlText w:val="%9."/>
      <w:lvlJc w:val="right"/>
      <w:pPr>
        <w:ind w:left="6480" w:hanging="180"/>
      </w:pPr>
    </w:lvl>
  </w:abstractNum>
  <w:num w:numId="1" w16cid:durableId="269433232">
    <w:abstractNumId w:val="2"/>
  </w:num>
  <w:num w:numId="2" w16cid:durableId="1586376354">
    <w:abstractNumId w:val="0"/>
  </w:num>
  <w:num w:numId="3" w16cid:durableId="115485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0472A"/>
    <w:rsid w:val="0004530A"/>
    <w:rsid w:val="000F4063"/>
    <w:rsid w:val="00132DDE"/>
    <w:rsid w:val="00133D38"/>
    <w:rsid w:val="001457BB"/>
    <w:rsid w:val="00147837"/>
    <w:rsid w:val="0016183F"/>
    <w:rsid w:val="001C06D2"/>
    <w:rsid w:val="001C5E0E"/>
    <w:rsid w:val="00214236"/>
    <w:rsid w:val="002252AC"/>
    <w:rsid w:val="00236C56"/>
    <w:rsid w:val="002415FE"/>
    <w:rsid w:val="00246B60"/>
    <w:rsid w:val="0026120B"/>
    <w:rsid w:val="0028124C"/>
    <w:rsid w:val="00291448"/>
    <w:rsid w:val="00295277"/>
    <w:rsid w:val="002B36E3"/>
    <w:rsid w:val="002D2C56"/>
    <w:rsid w:val="002E3E4E"/>
    <w:rsid w:val="002F1D7B"/>
    <w:rsid w:val="00300E60"/>
    <w:rsid w:val="00316B37"/>
    <w:rsid w:val="00333E1C"/>
    <w:rsid w:val="00345CA5"/>
    <w:rsid w:val="00347006"/>
    <w:rsid w:val="003A0C40"/>
    <w:rsid w:val="003B3F14"/>
    <w:rsid w:val="003D3AD6"/>
    <w:rsid w:val="003F3F14"/>
    <w:rsid w:val="00402093"/>
    <w:rsid w:val="00406ABA"/>
    <w:rsid w:val="00413CA1"/>
    <w:rsid w:val="00430C44"/>
    <w:rsid w:val="004404E1"/>
    <w:rsid w:val="004642F3"/>
    <w:rsid w:val="00467AC1"/>
    <w:rsid w:val="004D3318"/>
    <w:rsid w:val="00545250"/>
    <w:rsid w:val="00550133"/>
    <w:rsid w:val="00594E0F"/>
    <w:rsid w:val="005F3EEA"/>
    <w:rsid w:val="00627712"/>
    <w:rsid w:val="006333AA"/>
    <w:rsid w:val="006522CE"/>
    <w:rsid w:val="00676733"/>
    <w:rsid w:val="00685359"/>
    <w:rsid w:val="0068560F"/>
    <w:rsid w:val="00693095"/>
    <w:rsid w:val="006E3E33"/>
    <w:rsid w:val="007235C7"/>
    <w:rsid w:val="00765F11"/>
    <w:rsid w:val="007705EB"/>
    <w:rsid w:val="007757C6"/>
    <w:rsid w:val="00783897"/>
    <w:rsid w:val="007D0F4E"/>
    <w:rsid w:val="00825376"/>
    <w:rsid w:val="00886FDE"/>
    <w:rsid w:val="00912B46"/>
    <w:rsid w:val="00966597"/>
    <w:rsid w:val="00977CBC"/>
    <w:rsid w:val="00A464DE"/>
    <w:rsid w:val="00A54CB4"/>
    <w:rsid w:val="00A74921"/>
    <w:rsid w:val="00A971F6"/>
    <w:rsid w:val="00AB556C"/>
    <w:rsid w:val="00AD2A03"/>
    <w:rsid w:val="00B15898"/>
    <w:rsid w:val="00B45254"/>
    <w:rsid w:val="00B60672"/>
    <w:rsid w:val="00BC18AA"/>
    <w:rsid w:val="00C11B9F"/>
    <w:rsid w:val="00C8610F"/>
    <w:rsid w:val="00C95212"/>
    <w:rsid w:val="00CD03C2"/>
    <w:rsid w:val="00D60C2A"/>
    <w:rsid w:val="00DA34AD"/>
    <w:rsid w:val="00DB3D75"/>
    <w:rsid w:val="00DC43C6"/>
    <w:rsid w:val="00DF0D4B"/>
    <w:rsid w:val="00E26383"/>
    <w:rsid w:val="00E63AEB"/>
    <w:rsid w:val="00E74761"/>
    <w:rsid w:val="00EC3706"/>
    <w:rsid w:val="00F042EB"/>
    <w:rsid w:val="00F61F23"/>
    <w:rsid w:val="00F70439"/>
    <w:rsid w:val="03AB8BC1"/>
    <w:rsid w:val="12E51FAD"/>
    <w:rsid w:val="1F27612C"/>
    <w:rsid w:val="4321F705"/>
    <w:rsid w:val="47801FFC"/>
    <w:rsid w:val="74039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BCE41C7D-CFAB-4601-9FDB-86CC07146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B3D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B3D7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D92CAF-B45B-4A30-B95C-0279790C99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475FA6-CD24-4F08-B81E-758F29FD25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AC8750-90A3-4263-9266-A080D5CE76C8}">
  <ds:schemaRefs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9d85dbaf-23eb-4e57-a637-93dcacc8b1a1"/>
    <ds:schemaRef ds:uri="http://purl.org/dc/elements/1.1/"/>
    <ds:schemaRef ds:uri="http://purl.org/dc/terms/"/>
    <ds:schemaRef ds:uri="http://schemas.microsoft.com/office/2006/documentManagement/types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1121</Words>
  <Characters>6171</Characters>
  <Application>Microsoft Office Word</Application>
  <DocSecurity>0</DocSecurity>
  <Lines>51</Lines>
  <Paragraphs>14</Paragraphs>
  <ScaleCrop>false</ScaleCrop>
  <Company/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Juan David Cárdenas Cabeza</cp:lastModifiedBy>
  <cp:revision>6</cp:revision>
  <cp:lastPrinted>2020-11-13T23:09:00Z</cp:lastPrinted>
  <dcterms:created xsi:type="dcterms:W3CDTF">2022-08-01T21:29:00Z</dcterms:created>
  <dcterms:modified xsi:type="dcterms:W3CDTF">2024-08-28T01:35:00Z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22926300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